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0B372" w14:textId="7EC24E9B" w:rsidR="008A0834" w:rsidRPr="001D638C" w:rsidRDefault="002B6759" w:rsidP="00A2776E">
      <w:pPr>
        <w:spacing w:before="100" w:beforeAutospacing="1" w:after="100" w:afterAutospacing="1"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="00A2776E" w:rsidRPr="001D638C">
        <w:rPr>
          <w:rFonts w:ascii="Century Gothic" w:hAnsi="Century Gothic"/>
          <w:b/>
          <w:bCs/>
          <w:sz w:val="28"/>
          <w:szCs w:val="28"/>
          <w:u w:val="single"/>
        </w:rPr>
        <w:t>CRA Bank Profile</w:t>
      </w:r>
    </w:p>
    <w:p w14:paraId="4ADBD86F" w14:textId="77777777" w:rsidR="00A2776E" w:rsidRDefault="00A2776E" w:rsidP="00A2776E">
      <w:pPr>
        <w:pStyle w:val="Heading2"/>
        <w:shd w:val="clear" w:color="auto" w:fill="FFFFFF"/>
        <w:textAlignment w:val="baseline"/>
        <w:rPr>
          <w:rFonts w:ascii="Century Gothic" w:eastAsia="Times New Roman" w:hAnsi="Century Gothic"/>
          <w:color w:val="222222"/>
          <w:sz w:val="24"/>
          <w:szCs w:val="24"/>
        </w:rPr>
      </w:pPr>
    </w:p>
    <w:p w14:paraId="2C4713D9" w14:textId="59AFDDC6" w:rsidR="002C6470" w:rsidRPr="001D638C" w:rsidRDefault="002C6470" w:rsidP="001D638C">
      <w:pPr>
        <w:pStyle w:val="Heading2"/>
        <w:shd w:val="clear" w:color="auto" w:fill="FFFFFF"/>
        <w:jc w:val="both"/>
        <w:textAlignment w:val="baseline"/>
        <w:rPr>
          <w:rFonts w:ascii="Century Gothic" w:eastAsia="Times New Roman" w:hAnsi="Century Gothic"/>
          <w:color w:val="222222"/>
          <w:sz w:val="24"/>
          <w:szCs w:val="24"/>
        </w:rPr>
      </w:pPr>
      <w:r w:rsidRPr="001D638C">
        <w:rPr>
          <w:rFonts w:ascii="Century Gothic" w:eastAsia="Times New Roman" w:hAnsi="Century Gothic"/>
          <w:color w:val="222222"/>
          <w:sz w:val="24"/>
          <w:szCs w:val="24"/>
        </w:rPr>
        <w:t>Bank Type Determinations</w:t>
      </w:r>
    </w:p>
    <w:p w14:paraId="29D63AB0" w14:textId="184A0578" w:rsidR="002C6470" w:rsidRPr="001D638C" w:rsidRDefault="002C6470" w:rsidP="001D638C">
      <w:pPr>
        <w:pStyle w:val="NormalWeb"/>
        <w:shd w:val="clear" w:color="auto" w:fill="FFFFFF"/>
        <w:jc w:val="both"/>
        <w:textAlignment w:val="baseline"/>
        <w:rPr>
          <w:rFonts w:ascii="Century Gothic" w:hAnsi="Century Gothic"/>
          <w:color w:val="212121"/>
          <w:sz w:val="24"/>
          <w:szCs w:val="24"/>
        </w:rPr>
      </w:pPr>
      <w:r w:rsidRPr="001D638C">
        <w:rPr>
          <w:rFonts w:ascii="Century Gothic" w:hAnsi="Century Gothic"/>
          <w:color w:val="212121"/>
          <w:sz w:val="24"/>
          <w:szCs w:val="24"/>
        </w:rPr>
        <w:t>The OCC applied the asset size threshold</w:t>
      </w:r>
      <w:r w:rsidR="00075F42">
        <w:rPr>
          <w:rFonts w:ascii="Century Gothic" w:hAnsi="Century Gothic"/>
          <w:color w:val="212121"/>
          <w:sz w:val="24"/>
          <w:szCs w:val="24"/>
        </w:rPr>
        <w:t xml:space="preserve"> for a “Small” bank to be defined </w:t>
      </w:r>
      <w:r w:rsidR="00075F42" w:rsidRPr="00075F42">
        <w:rPr>
          <w:rFonts w:ascii="Century Gothic" w:hAnsi="Century Gothic"/>
          <w:color w:val="212121"/>
          <w:sz w:val="24"/>
          <w:szCs w:val="24"/>
        </w:rPr>
        <w:t xml:space="preserve">as of December 31,2024 of either of the prior two calendar years, had assets of less than $1.609 billion. </w:t>
      </w:r>
      <w:r w:rsidRPr="001D638C">
        <w:rPr>
          <w:rFonts w:ascii="Century Gothic" w:hAnsi="Century Gothic"/>
          <w:color w:val="212121"/>
          <w:sz w:val="24"/>
          <w:szCs w:val="24"/>
        </w:rPr>
        <w:t>Under this rule, SNB is a “Small” bank.</w:t>
      </w:r>
    </w:p>
    <w:p w14:paraId="2F1F1DD0" w14:textId="77777777" w:rsidR="002C6470" w:rsidRPr="001D638C" w:rsidRDefault="002C6470" w:rsidP="001D638C">
      <w:pPr>
        <w:pStyle w:val="Heading2"/>
        <w:shd w:val="clear" w:color="auto" w:fill="FFFFFF"/>
        <w:jc w:val="both"/>
        <w:textAlignment w:val="baseline"/>
        <w:rPr>
          <w:rFonts w:ascii="Century Gothic" w:eastAsia="Times New Roman" w:hAnsi="Century Gothic"/>
          <w:color w:val="222222"/>
          <w:sz w:val="24"/>
          <w:szCs w:val="24"/>
        </w:rPr>
      </w:pPr>
      <w:r w:rsidRPr="001D638C">
        <w:rPr>
          <w:rFonts w:ascii="Century Gothic" w:eastAsia="Times New Roman" w:hAnsi="Century Gothic"/>
          <w:color w:val="222222"/>
          <w:sz w:val="24"/>
          <w:szCs w:val="24"/>
        </w:rPr>
        <w:t>Distressed and Underserved Areas</w:t>
      </w:r>
    </w:p>
    <w:p w14:paraId="1E7BDD4D" w14:textId="67CDA9B0" w:rsidR="002C6470" w:rsidRPr="001D638C" w:rsidRDefault="002C6470" w:rsidP="001D638C">
      <w:pPr>
        <w:pStyle w:val="NormalWeb"/>
        <w:shd w:val="clear" w:color="auto" w:fill="FFFFFF"/>
        <w:jc w:val="both"/>
        <w:textAlignment w:val="baseline"/>
        <w:rPr>
          <w:rFonts w:ascii="Century Gothic" w:hAnsi="Century Gothic"/>
          <w:color w:val="212121"/>
          <w:sz w:val="24"/>
          <w:szCs w:val="24"/>
        </w:rPr>
      </w:pPr>
      <w:r w:rsidRPr="001D638C">
        <w:rPr>
          <w:rFonts w:ascii="Century Gothic" w:hAnsi="Century Gothic"/>
          <w:color w:val="212121"/>
          <w:sz w:val="24"/>
          <w:szCs w:val="24"/>
        </w:rPr>
        <w:t xml:space="preserve">The OCC designates distressed and underserved areas in accordance with the </w:t>
      </w:r>
      <w:r w:rsidR="00176429">
        <w:rPr>
          <w:rFonts w:ascii="Century Gothic" w:hAnsi="Century Gothic"/>
          <w:color w:val="212121"/>
          <w:sz w:val="24"/>
          <w:szCs w:val="24"/>
        </w:rPr>
        <w:t>t</w:t>
      </w:r>
      <w:r w:rsidR="00176429" w:rsidRPr="00176429">
        <w:rPr>
          <w:rFonts w:ascii="Century Gothic" w:hAnsi="Century Gothic"/>
          <w:color w:val="212121"/>
          <w:sz w:val="24"/>
          <w:szCs w:val="24"/>
        </w:rPr>
        <w:t>he agencies’ CRA regulations (12 C.F.R. 25.12(g), 195.12(g), 228.12(g), and 345.12(g))</w:t>
      </w:r>
      <w:r w:rsidRPr="001D638C">
        <w:rPr>
          <w:rFonts w:ascii="Century Gothic" w:hAnsi="Century Gothic"/>
          <w:color w:val="212121"/>
          <w:sz w:val="24"/>
          <w:szCs w:val="24"/>
        </w:rPr>
        <w:t>.</w:t>
      </w:r>
      <w:r w:rsidR="00A2776E" w:rsidRPr="001D638C">
        <w:rPr>
          <w:rFonts w:ascii="Century Gothic" w:hAnsi="Century Gothic"/>
          <w:color w:val="212121"/>
          <w:sz w:val="24"/>
          <w:szCs w:val="24"/>
        </w:rPr>
        <w:t xml:space="preserve">  </w:t>
      </w:r>
      <w:r w:rsidRPr="001D638C">
        <w:rPr>
          <w:rFonts w:ascii="Century Gothic" w:hAnsi="Century Gothic"/>
          <w:color w:val="212121"/>
          <w:sz w:val="24"/>
          <w:szCs w:val="24"/>
        </w:rPr>
        <w:t>Qualifying areas within our Assessment Area include the following Census Tracts</w:t>
      </w:r>
      <w:r w:rsidR="00853357" w:rsidRPr="001D638C">
        <w:rPr>
          <w:rFonts w:ascii="Century Gothic" w:hAnsi="Century Gothic"/>
          <w:color w:val="212121"/>
          <w:sz w:val="24"/>
          <w:szCs w:val="24"/>
        </w:rPr>
        <w:t xml:space="preserve"> (see </w:t>
      </w:r>
      <w:r w:rsidR="00853357" w:rsidRPr="00BB54D5">
        <w:rPr>
          <w:rFonts w:ascii="Century Gothic" w:hAnsi="Century Gothic"/>
          <w:b/>
          <w:bCs/>
          <w:color w:val="212121"/>
          <w:sz w:val="24"/>
          <w:szCs w:val="24"/>
        </w:rPr>
        <w:t>Exhibit 1</w:t>
      </w:r>
      <w:r w:rsidR="00853357" w:rsidRPr="001D638C">
        <w:rPr>
          <w:rFonts w:ascii="Century Gothic" w:hAnsi="Century Gothic"/>
          <w:color w:val="212121"/>
          <w:sz w:val="24"/>
          <w:szCs w:val="24"/>
        </w:rPr>
        <w:t xml:space="preserve"> for a complete listing)</w:t>
      </w:r>
      <w:r w:rsidRPr="001D638C">
        <w:rPr>
          <w:rFonts w:ascii="Century Gothic" w:hAnsi="Century Gothic"/>
          <w:color w:val="212121"/>
          <w:sz w:val="24"/>
          <w:szCs w:val="24"/>
        </w:rPr>
        <w:t>:</w:t>
      </w:r>
    </w:p>
    <w:p w14:paraId="357C63BE" w14:textId="639BD738" w:rsidR="002C6470" w:rsidRPr="001D638C" w:rsidRDefault="002C6470" w:rsidP="001D638C">
      <w:pPr>
        <w:pStyle w:val="NormalWeb"/>
        <w:shd w:val="clear" w:color="auto" w:fill="FFFFFF"/>
        <w:textAlignment w:val="baseline"/>
        <w:rPr>
          <w:rFonts w:ascii="Century Gothic" w:hAnsi="Century Gothic"/>
          <w:color w:val="21212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C4750" w14:paraId="0D5AE57A" w14:textId="77777777" w:rsidTr="001C4750">
        <w:tc>
          <w:tcPr>
            <w:tcW w:w="2337" w:type="dxa"/>
          </w:tcPr>
          <w:p w14:paraId="63EB7105" w14:textId="77CA1D09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County</w:t>
            </w:r>
          </w:p>
        </w:tc>
        <w:tc>
          <w:tcPr>
            <w:tcW w:w="2337" w:type="dxa"/>
          </w:tcPr>
          <w:p w14:paraId="5A5BC17A" w14:textId="6D064868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State Code</w:t>
            </w:r>
          </w:p>
        </w:tc>
        <w:tc>
          <w:tcPr>
            <w:tcW w:w="2338" w:type="dxa"/>
          </w:tcPr>
          <w:p w14:paraId="0D1A5E68" w14:textId="19E4EEB9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County Code</w:t>
            </w:r>
          </w:p>
        </w:tc>
        <w:tc>
          <w:tcPr>
            <w:tcW w:w="2338" w:type="dxa"/>
          </w:tcPr>
          <w:p w14:paraId="47A483A3" w14:textId="5561753C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Tract Code</w:t>
            </w:r>
            <w:r w:rsidR="00F43A35">
              <w:rPr>
                <w:rFonts w:ascii="Century Gothic" w:hAnsi="Century Gothic"/>
                <w:color w:val="212121"/>
                <w:sz w:val="24"/>
                <w:szCs w:val="24"/>
              </w:rPr>
              <w:t>(s)</w:t>
            </w:r>
          </w:p>
        </w:tc>
      </w:tr>
      <w:tr w:rsidR="001C4750" w14:paraId="43C49D9E" w14:textId="77777777" w:rsidTr="001C4750">
        <w:tc>
          <w:tcPr>
            <w:tcW w:w="2337" w:type="dxa"/>
          </w:tcPr>
          <w:p w14:paraId="3352CC3A" w14:textId="10290EFF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Frio</w:t>
            </w:r>
          </w:p>
        </w:tc>
        <w:tc>
          <w:tcPr>
            <w:tcW w:w="2337" w:type="dxa"/>
          </w:tcPr>
          <w:p w14:paraId="0A719DD9" w14:textId="7D066865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48</w:t>
            </w:r>
          </w:p>
        </w:tc>
        <w:tc>
          <w:tcPr>
            <w:tcW w:w="2338" w:type="dxa"/>
          </w:tcPr>
          <w:p w14:paraId="43C139F7" w14:textId="584FB87C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163</w:t>
            </w:r>
          </w:p>
        </w:tc>
        <w:tc>
          <w:tcPr>
            <w:tcW w:w="2338" w:type="dxa"/>
          </w:tcPr>
          <w:p w14:paraId="66D9920B" w14:textId="0ADC35EF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9501.</w:t>
            </w:r>
            <w:r w:rsidR="00F43A35">
              <w:rPr>
                <w:rFonts w:ascii="Century Gothic" w:hAnsi="Century Gothic"/>
                <w:color w:val="212121"/>
                <w:sz w:val="24"/>
                <w:szCs w:val="24"/>
              </w:rPr>
              <w:t>01, 9501.02, 9502.02, 9503.01, 9503.02</w:t>
            </w:r>
          </w:p>
        </w:tc>
      </w:tr>
      <w:tr w:rsidR="001C4750" w14:paraId="492B49F6" w14:textId="77777777" w:rsidTr="001C4750">
        <w:tc>
          <w:tcPr>
            <w:tcW w:w="2337" w:type="dxa"/>
          </w:tcPr>
          <w:p w14:paraId="7E9AD975" w14:textId="1E6F164C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LaSalle</w:t>
            </w:r>
          </w:p>
        </w:tc>
        <w:tc>
          <w:tcPr>
            <w:tcW w:w="2337" w:type="dxa"/>
          </w:tcPr>
          <w:p w14:paraId="15955E62" w14:textId="58E47C56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48</w:t>
            </w:r>
          </w:p>
        </w:tc>
        <w:tc>
          <w:tcPr>
            <w:tcW w:w="2338" w:type="dxa"/>
          </w:tcPr>
          <w:p w14:paraId="1E529944" w14:textId="1A57844E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483</w:t>
            </w:r>
          </w:p>
        </w:tc>
        <w:tc>
          <w:tcPr>
            <w:tcW w:w="2338" w:type="dxa"/>
          </w:tcPr>
          <w:p w14:paraId="61CE7A00" w14:textId="552E82F2" w:rsidR="001C4750" w:rsidRDefault="001C4750" w:rsidP="001D638C">
            <w:pPr>
              <w:pStyle w:val="NormalWeb"/>
              <w:textAlignment w:val="baseline"/>
              <w:rPr>
                <w:rFonts w:ascii="Century Gothic" w:hAnsi="Century Gothic"/>
                <w:color w:val="212121"/>
                <w:sz w:val="24"/>
                <w:szCs w:val="24"/>
              </w:rPr>
            </w:pPr>
            <w:r>
              <w:rPr>
                <w:rFonts w:ascii="Century Gothic" w:hAnsi="Century Gothic"/>
                <w:color w:val="212121"/>
                <w:sz w:val="24"/>
                <w:szCs w:val="24"/>
              </w:rPr>
              <w:t>9503.0</w:t>
            </w:r>
            <w:r w:rsidR="00F43A35">
              <w:rPr>
                <w:rFonts w:ascii="Century Gothic" w:hAnsi="Century Gothic"/>
                <w:color w:val="212121"/>
                <w:sz w:val="24"/>
                <w:szCs w:val="24"/>
              </w:rPr>
              <w:t>2</w:t>
            </w:r>
          </w:p>
        </w:tc>
      </w:tr>
    </w:tbl>
    <w:p w14:paraId="790FEAF1" w14:textId="72B50AB2" w:rsidR="00A2776E" w:rsidRPr="001D638C" w:rsidRDefault="00A2776E" w:rsidP="001D638C">
      <w:pPr>
        <w:pStyle w:val="NormalWeb"/>
        <w:shd w:val="clear" w:color="auto" w:fill="FFFFFF"/>
        <w:textAlignment w:val="baseline"/>
        <w:rPr>
          <w:rFonts w:ascii="Century Gothic" w:hAnsi="Century Gothic"/>
          <w:color w:val="212121"/>
          <w:sz w:val="24"/>
          <w:szCs w:val="24"/>
        </w:rPr>
      </w:pPr>
    </w:p>
    <w:p w14:paraId="4896DD91" w14:textId="688576CA" w:rsidR="002C6470" w:rsidRPr="001D638C" w:rsidRDefault="002C6470" w:rsidP="001D638C">
      <w:pPr>
        <w:pStyle w:val="NormalWeb"/>
        <w:shd w:val="clear" w:color="auto" w:fill="FFFFFF"/>
        <w:jc w:val="both"/>
        <w:textAlignment w:val="baseline"/>
        <w:rPr>
          <w:rFonts w:ascii="Century Gothic" w:hAnsi="Century Gothic"/>
          <w:b/>
          <w:bCs/>
          <w:color w:val="212121"/>
          <w:sz w:val="24"/>
          <w:szCs w:val="24"/>
        </w:rPr>
      </w:pPr>
      <w:r w:rsidRPr="001D638C">
        <w:rPr>
          <w:rFonts w:ascii="Century Gothic" w:hAnsi="Century Gothic"/>
          <w:b/>
          <w:bCs/>
          <w:color w:val="212121"/>
          <w:sz w:val="24"/>
          <w:szCs w:val="24"/>
        </w:rPr>
        <w:t>Compensation Value</w:t>
      </w:r>
    </w:p>
    <w:p w14:paraId="2559F2F5" w14:textId="5F6E37BB" w:rsidR="002C6470" w:rsidRPr="001D638C" w:rsidRDefault="002C6470" w:rsidP="001D638C">
      <w:pPr>
        <w:pStyle w:val="NormalWeb"/>
        <w:shd w:val="clear" w:color="auto" w:fill="FFFFFF"/>
        <w:jc w:val="both"/>
        <w:textAlignment w:val="baseline"/>
        <w:rPr>
          <w:rFonts w:ascii="Century Gothic" w:hAnsi="Century Gothic"/>
          <w:color w:val="212121"/>
          <w:sz w:val="24"/>
          <w:szCs w:val="24"/>
        </w:rPr>
      </w:pPr>
      <w:r w:rsidRPr="001D638C">
        <w:rPr>
          <w:rFonts w:ascii="Century Gothic" w:hAnsi="Century Gothic"/>
          <w:color w:val="212121"/>
          <w:sz w:val="24"/>
          <w:szCs w:val="24"/>
        </w:rPr>
        <w:t xml:space="preserve">The median hourly compensation value for the banking industry to be applied to qualifying community development activities that are </w:t>
      </w:r>
      <w:r w:rsidRPr="006630DB">
        <w:rPr>
          <w:rFonts w:ascii="Century Gothic" w:hAnsi="Century Gothic"/>
          <w:color w:val="212121"/>
          <w:sz w:val="24"/>
          <w:szCs w:val="24"/>
        </w:rPr>
        <w:t>effective October 1, 2020, through December 31, 2021</w:t>
      </w:r>
      <w:r w:rsidRPr="001D638C">
        <w:rPr>
          <w:rFonts w:ascii="Century Gothic" w:hAnsi="Century Gothic"/>
          <w:color w:val="212121"/>
          <w:sz w:val="24"/>
          <w:szCs w:val="24"/>
        </w:rPr>
        <w:t>, is </w:t>
      </w:r>
      <w:r w:rsidRPr="001D638C">
        <w:rPr>
          <w:rStyle w:val="Strong"/>
          <w:rFonts w:ascii="Century Gothic" w:hAnsi="Century Gothic"/>
          <w:color w:val="212121"/>
          <w:sz w:val="24"/>
          <w:szCs w:val="24"/>
          <w:bdr w:val="none" w:sz="0" w:space="0" w:color="auto" w:frame="1"/>
        </w:rPr>
        <w:t>$39.03</w:t>
      </w:r>
      <w:r w:rsidRPr="001D638C">
        <w:rPr>
          <w:rFonts w:ascii="Century Gothic" w:hAnsi="Century Gothic"/>
          <w:color w:val="212121"/>
          <w:sz w:val="24"/>
          <w:szCs w:val="24"/>
        </w:rPr>
        <w:t xml:space="preserve">. SNB will use </w:t>
      </w:r>
      <w:r w:rsidRPr="001D638C">
        <w:rPr>
          <w:rFonts w:ascii="Century Gothic" w:hAnsi="Century Gothic"/>
          <w:b/>
          <w:bCs/>
          <w:color w:val="212121"/>
          <w:sz w:val="24"/>
          <w:szCs w:val="24"/>
        </w:rPr>
        <w:t>$39</w:t>
      </w:r>
      <w:r w:rsidRPr="001D638C">
        <w:rPr>
          <w:rFonts w:ascii="Century Gothic" w:hAnsi="Century Gothic"/>
          <w:color w:val="212121"/>
          <w:sz w:val="24"/>
          <w:szCs w:val="24"/>
        </w:rPr>
        <w:t xml:space="preserve"> as our compensation value for qualifying community development activities.</w:t>
      </w:r>
    </w:p>
    <w:p w14:paraId="139DCED4" w14:textId="08268561" w:rsidR="002C6470" w:rsidRPr="001D638C" w:rsidRDefault="00B0226E" w:rsidP="001D638C">
      <w:pPr>
        <w:shd w:val="clear" w:color="auto" w:fill="FFFFFF"/>
        <w:spacing w:before="100" w:beforeAutospacing="1" w:after="100" w:afterAutospacing="1"/>
        <w:textAlignment w:val="baseline"/>
        <w:rPr>
          <w:rFonts w:ascii="Century Gothic" w:hAnsi="Century Gothic"/>
          <w:b/>
          <w:bCs/>
          <w:color w:val="212121"/>
          <w:sz w:val="24"/>
          <w:szCs w:val="24"/>
        </w:rPr>
      </w:pPr>
      <w:r w:rsidRPr="001D638C">
        <w:rPr>
          <w:rFonts w:ascii="Century Gothic" w:hAnsi="Century Gothic"/>
          <w:b/>
          <w:bCs/>
          <w:color w:val="212121"/>
          <w:sz w:val="24"/>
          <w:szCs w:val="24"/>
        </w:rPr>
        <w:t>Qualifying Activities</w:t>
      </w:r>
    </w:p>
    <w:p w14:paraId="554EEFAC" w14:textId="0145CD92" w:rsidR="00B0226E" w:rsidRPr="001D638C" w:rsidRDefault="00B0226E" w:rsidP="001D638C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entury Gothic" w:hAnsi="Century Gothic"/>
          <w:color w:val="212121"/>
          <w:sz w:val="24"/>
          <w:szCs w:val="24"/>
          <w:shd w:val="clear" w:color="auto" w:fill="FFFFFF"/>
        </w:rPr>
      </w:pPr>
      <w:r w:rsidRPr="001D638C">
        <w:rPr>
          <w:rFonts w:ascii="Century Gothic" w:hAnsi="Century Gothic"/>
          <w:color w:val="494949"/>
          <w:sz w:val="24"/>
          <w:szCs w:val="24"/>
          <w:shd w:val="clear" w:color="auto" w:fill="FFFFFF"/>
        </w:rPr>
        <w:t>The Final Rule defines a Qualifying Activity as “a retail loan, a community development loan, a community development investment, or a community development service that helps to meet the credit needs of a bank’s entire community, including low-and moderate-income communities, is a qualifying activity if it meets the criteria [in this section] at the time the activity is originated, made or conducted</w:t>
      </w:r>
      <w:r w:rsidR="00753E29">
        <w:rPr>
          <w:rFonts w:ascii="Century Gothic" w:hAnsi="Century Gothic"/>
          <w:color w:val="494949"/>
          <w:sz w:val="24"/>
          <w:szCs w:val="24"/>
          <w:shd w:val="clear" w:color="auto" w:fill="FFFFFF"/>
        </w:rPr>
        <w:t xml:space="preserve"> (see </w:t>
      </w:r>
      <w:r w:rsidR="00753E29" w:rsidRPr="00BB54D5">
        <w:rPr>
          <w:rFonts w:ascii="Century Gothic" w:hAnsi="Century Gothic"/>
          <w:b/>
          <w:bCs/>
          <w:color w:val="494949"/>
          <w:sz w:val="24"/>
          <w:szCs w:val="24"/>
          <w:shd w:val="clear" w:color="auto" w:fill="FFFFFF"/>
        </w:rPr>
        <w:t>Exhibit 2</w:t>
      </w:r>
      <w:r w:rsidR="00753E29">
        <w:rPr>
          <w:rFonts w:ascii="Century Gothic" w:hAnsi="Century Gothic"/>
          <w:color w:val="494949"/>
          <w:sz w:val="24"/>
          <w:szCs w:val="24"/>
          <w:shd w:val="clear" w:color="auto" w:fill="FFFFFF"/>
        </w:rPr>
        <w:t xml:space="preserve"> Illustrative List of Qualifying Activities – pdf)</w:t>
      </w:r>
      <w:r w:rsidRPr="001D638C">
        <w:rPr>
          <w:rFonts w:ascii="Century Gothic" w:hAnsi="Century Gothic"/>
          <w:color w:val="494949"/>
          <w:sz w:val="24"/>
          <w:szCs w:val="24"/>
          <w:shd w:val="clear" w:color="auto" w:fill="FFFFFF"/>
        </w:rPr>
        <w:t>.</w:t>
      </w:r>
    </w:p>
    <w:p w14:paraId="6A6DBEC2" w14:textId="77777777" w:rsidR="00B0226E" w:rsidRPr="001D638C" w:rsidRDefault="00B0226E" w:rsidP="001D638C">
      <w:pPr>
        <w:shd w:val="clear" w:color="auto" w:fill="FFFFFF"/>
        <w:spacing w:before="100" w:beforeAutospacing="1" w:after="100" w:afterAutospacing="1"/>
        <w:textAlignment w:val="baseline"/>
        <w:rPr>
          <w:rFonts w:ascii="Century Gothic" w:hAnsi="Century Gothic"/>
          <w:color w:val="212121"/>
          <w:sz w:val="24"/>
          <w:szCs w:val="24"/>
          <w:shd w:val="clear" w:color="auto" w:fill="FFFFFF"/>
        </w:rPr>
      </w:pPr>
    </w:p>
    <w:p w14:paraId="0537F2A7" w14:textId="3BFFCF93" w:rsidR="00853357" w:rsidRPr="00753E29" w:rsidRDefault="00B0226E" w:rsidP="001D638C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entury Gothic" w:hAnsi="Century Gothic"/>
          <w:color w:val="212121"/>
          <w:sz w:val="24"/>
          <w:szCs w:val="24"/>
          <w:shd w:val="clear" w:color="auto" w:fill="FFFFFF"/>
        </w:rPr>
      </w:pPr>
      <w:r w:rsidRPr="001D638C">
        <w:rPr>
          <w:rFonts w:ascii="Century Gothic" w:hAnsi="Century Gothic"/>
          <w:color w:val="212121"/>
          <w:sz w:val="24"/>
          <w:szCs w:val="24"/>
          <w:shd w:val="clear" w:color="auto" w:fill="FFFFFF"/>
        </w:rPr>
        <w:lastRenderedPageBreak/>
        <w:t>If you represent a bank or other interested party that is a stakeholder in a bank-related activity that you believe qualifies under CRA, you may request the OCC's review to verify qualification</w:t>
      </w:r>
      <w:r w:rsidR="00853357" w:rsidRPr="001D638C">
        <w:rPr>
          <w:rFonts w:ascii="Century Gothic" w:hAnsi="Century Gothic"/>
          <w:color w:val="212121"/>
          <w:sz w:val="24"/>
          <w:szCs w:val="24"/>
          <w:shd w:val="clear" w:color="auto" w:fill="FFFFFF"/>
        </w:rPr>
        <w:t xml:space="preserve"> using the attached form (</w:t>
      </w:r>
      <w:r w:rsidR="00853357" w:rsidRPr="00BB54D5">
        <w:rPr>
          <w:rFonts w:ascii="Century Gothic" w:hAnsi="Century Gothic"/>
          <w:b/>
          <w:bCs/>
          <w:color w:val="212121"/>
          <w:sz w:val="24"/>
          <w:szCs w:val="24"/>
          <w:shd w:val="clear" w:color="auto" w:fill="FFFFFF"/>
        </w:rPr>
        <w:t xml:space="preserve">Exhibit </w:t>
      </w:r>
      <w:r w:rsidR="00BB54D5" w:rsidRPr="00BB54D5">
        <w:rPr>
          <w:rFonts w:ascii="Century Gothic" w:hAnsi="Century Gothic"/>
          <w:b/>
          <w:bCs/>
          <w:color w:val="212121"/>
          <w:sz w:val="24"/>
          <w:szCs w:val="24"/>
          <w:shd w:val="clear" w:color="auto" w:fill="FFFFFF"/>
        </w:rPr>
        <w:t>3</w:t>
      </w:r>
      <w:r w:rsidR="00853357" w:rsidRPr="001D638C">
        <w:rPr>
          <w:rFonts w:ascii="Century Gothic" w:hAnsi="Century Gothic"/>
          <w:color w:val="212121"/>
          <w:sz w:val="24"/>
          <w:szCs w:val="24"/>
          <w:shd w:val="clear" w:color="auto" w:fill="FFFFFF"/>
        </w:rPr>
        <w:t>).</w:t>
      </w:r>
    </w:p>
    <w:p w14:paraId="4A6312BE" w14:textId="36D4521F" w:rsidR="00853357" w:rsidRPr="001D638C" w:rsidRDefault="00853357" w:rsidP="001D638C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entury Gothic" w:hAnsi="Century Gothic"/>
          <w:b/>
          <w:bCs/>
          <w:color w:val="212121"/>
          <w:sz w:val="24"/>
          <w:szCs w:val="24"/>
        </w:rPr>
      </w:pPr>
      <w:r w:rsidRPr="001D638C">
        <w:rPr>
          <w:rFonts w:ascii="Century Gothic" w:hAnsi="Century Gothic"/>
          <w:b/>
          <w:bCs/>
          <w:color w:val="212121"/>
          <w:sz w:val="24"/>
          <w:szCs w:val="24"/>
        </w:rPr>
        <w:t>Training</w:t>
      </w:r>
    </w:p>
    <w:p w14:paraId="0A5F38C5" w14:textId="70417F19" w:rsidR="00853357" w:rsidRPr="001D638C" w:rsidRDefault="00853357" w:rsidP="001D638C">
      <w:p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Century Gothic" w:hAnsi="Century Gothic"/>
          <w:color w:val="212121"/>
          <w:sz w:val="24"/>
          <w:szCs w:val="24"/>
        </w:rPr>
      </w:pPr>
      <w:r w:rsidRPr="001D638C">
        <w:rPr>
          <w:rFonts w:ascii="Century Gothic" w:hAnsi="Century Gothic"/>
          <w:color w:val="212121"/>
          <w:sz w:val="24"/>
          <w:szCs w:val="24"/>
        </w:rPr>
        <w:t>Employees of SNB receive CRA training</w:t>
      </w:r>
      <w:r w:rsidR="001D638C" w:rsidRPr="001D638C">
        <w:rPr>
          <w:rFonts w:ascii="Century Gothic" w:hAnsi="Century Gothic"/>
          <w:color w:val="212121"/>
          <w:sz w:val="24"/>
          <w:szCs w:val="24"/>
        </w:rPr>
        <w:t>, as deemed appropriate</w:t>
      </w:r>
      <w:r w:rsidR="00BB54D5">
        <w:rPr>
          <w:rFonts w:ascii="Century Gothic" w:hAnsi="Century Gothic"/>
          <w:color w:val="212121"/>
          <w:sz w:val="24"/>
          <w:szCs w:val="24"/>
        </w:rPr>
        <w:t>,</w:t>
      </w:r>
      <w:r w:rsidR="001D638C" w:rsidRPr="001D638C">
        <w:rPr>
          <w:rFonts w:ascii="Century Gothic" w:hAnsi="Century Gothic"/>
          <w:color w:val="212121"/>
          <w:sz w:val="24"/>
          <w:szCs w:val="24"/>
        </w:rPr>
        <w:t xml:space="preserve"> commiserate with their job responsibilities.</w:t>
      </w:r>
    </w:p>
    <w:p w14:paraId="760ABF7B" w14:textId="1A964A81" w:rsidR="002C6470" w:rsidRDefault="002C6470"/>
    <w:p w14:paraId="12B5052B" w14:textId="05082FE1" w:rsidR="002C6470" w:rsidRPr="00753E29" w:rsidRDefault="001D638C" w:rsidP="001C4750">
      <w:pPr>
        <w:spacing w:after="160" w:line="259" w:lineRule="auto"/>
        <w:rPr>
          <w:rFonts w:ascii="Century Gothic" w:hAnsi="Century Gothic"/>
          <w:b/>
          <w:bCs/>
          <w:sz w:val="24"/>
          <w:szCs w:val="24"/>
        </w:rPr>
      </w:pPr>
      <w:r w:rsidRPr="00753E29">
        <w:rPr>
          <w:rFonts w:ascii="Century Gothic" w:hAnsi="Century Gothic"/>
          <w:b/>
          <w:bCs/>
          <w:sz w:val="24"/>
          <w:szCs w:val="24"/>
        </w:rPr>
        <w:t>Exhibit 1</w:t>
      </w:r>
    </w:p>
    <w:p w14:paraId="61A301ED" w14:textId="458DD47D" w:rsidR="001D638C" w:rsidRPr="00753E29" w:rsidRDefault="001D638C">
      <w:pPr>
        <w:rPr>
          <w:rFonts w:ascii="Century Gothic" w:hAnsi="Century Gothic"/>
          <w:sz w:val="24"/>
          <w:szCs w:val="24"/>
        </w:rPr>
      </w:pPr>
    </w:p>
    <w:p w14:paraId="6D1D8EC2" w14:textId="29DCDF2B" w:rsidR="001D638C" w:rsidRPr="00753E29" w:rsidRDefault="001D638C">
      <w:pPr>
        <w:rPr>
          <w:rFonts w:ascii="Century Gothic" w:hAnsi="Century Gothic"/>
          <w:sz w:val="24"/>
          <w:szCs w:val="24"/>
        </w:rPr>
      </w:pPr>
      <w:r w:rsidRPr="00753E29">
        <w:rPr>
          <w:rFonts w:ascii="Century Gothic" w:hAnsi="Century Gothic"/>
          <w:sz w:val="24"/>
          <w:szCs w:val="24"/>
        </w:rPr>
        <w:t xml:space="preserve">Distressed and Underserved </w:t>
      </w:r>
      <w:r w:rsidR="00753E29">
        <w:rPr>
          <w:rFonts w:ascii="Century Gothic" w:hAnsi="Century Gothic"/>
          <w:sz w:val="24"/>
          <w:szCs w:val="24"/>
        </w:rPr>
        <w:t xml:space="preserve">- </w:t>
      </w:r>
      <w:r w:rsidRPr="00753E29">
        <w:rPr>
          <w:rFonts w:ascii="Century Gothic" w:hAnsi="Century Gothic"/>
          <w:sz w:val="24"/>
          <w:szCs w:val="24"/>
        </w:rPr>
        <w:t>pdf</w:t>
      </w:r>
    </w:p>
    <w:p w14:paraId="30DC9B1A" w14:textId="1A36F928" w:rsidR="001D638C" w:rsidRPr="00753E29" w:rsidRDefault="001D638C">
      <w:pPr>
        <w:rPr>
          <w:rFonts w:ascii="Century Gothic" w:hAnsi="Century Gothic"/>
          <w:sz w:val="24"/>
          <w:szCs w:val="24"/>
        </w:rPr>
      </w:pPr>
    </w:p>
    <w:p w14:paraId="6C8431D8" w14:textId="2679193E" w:rsidR="001D638C" w:rsidRPr="00753E29" w:rsidRDefault="001D638C">
      <w:pPr>
        <w:rPr>
          <w:rFonts w:ascii="Century Gothic" w:hAnsi="Century Gothic"/>
          <w:sz w:val="24"/>
          <w:szCs w:val="24"/>
        </w:rPr>
      </w:pPr>
    </w:p>
    <w:p w14:paraId="0E108B5C" w14:textId="77777777" w:rsidR="00BB54D5" w:rsidRPr="00753E29" w:rsidRDefault="00BB54D5" w:rsidP="00BB54D5">
      <w:pPr>
        <w:rPr>
          <w:rFonts w:ascii="Century Gothic" w:hAnsi="Century Gothic"/>
          <w:b/>
          <w:bCs/>
          <w:sz w:val="24"/>
          <w:szCs w:val="24"/>
        </w:rPr>
      </w:pPr>
      <w:r w:rsidRPr="00753E29">
        <w:rPr>
          <w:rFonts w:ascii="Century Gothic" w:hAnsi="Century Gothic"/>
          <w:b/>
          <w:bCs/>
          <w:sz w:val="24"/>
          <w:szCs w:val="24"/>
        </w:rPr>
        <w:t>Exhibit 2</w:t>
      </w:r>
    </w:p>
    <w:p w14:paraId="2BBEFCCC" w14:textId="77777777" w:rsidR="00BB54D5" w:rsidRPr="00753E29" w:rsidRDefault="00BB54D5" w:rsidP="00BB54D5">
      <w:pPr>
        <w:rPr>
          <w:rFonts w:ascii="Century Gothic" w:hAnsi="Century Gothic"/>
          <w:sz w:val="24"/>
          <w:szCs w:val="24"/>
        </w:rPr>
      </w:pPr>
    </w:p>
    <w:p w14:paraId="39774289" w14:textId="54C1ED6D" w:rsidR="001C4750" w:rsidRDefault="00BB54D5" w:rsidP="001C4750">
      <w:pPr>
        <w:spacing w:after="160" w:line="259" w:lineRule="auto"/>
        <w:rPr>
          <w:rFonts w:ascii="Century Gothic" w:hAnsi="Century Gothic"/>
          <w:b/>
          <w:bCs/>
          <w:sz w:val="24"/>
          <w:szCs w:val="24"/>
        </w:rPr>
      </w:pPr>
      <w:hyperlink r:id="rId5" w:tgtFrame="_blank" w:history="1">
        <w:r w:rsidRPr="00753E29">
          <w:rPr>
            <w:rStyle w:val="Hyperlink"/>
            <w:rFonts w:ascii="Century Gothic" w:hAnsi="Century Gothic"/>
            <w:color w:val="202124"/>
            <w:sz w:val="24"/>
            <w:szCs w:val="24"/>
            <w:u w:val="none"/>
            <w:bdr w:val="none" w:sz="0" w:space="0" w:color="auto" w:frame="1"/>
          </w:rPr>
          <w:t xml:space="preserve">Qualifying Activities </w:t>
        </w:r>
        <w:r>
          <w:rPr>
            <w:rStyle w:val="Hyperlink"/>
            <w:rFonts w:ascii="Century Gothic" w:hAnsi="Century Gothic"/>
            <w:color w:val="202124"/>
            <w:sz w:val="24"/>
            <w:szCs w:val="24"/>
            <w:u w:val="none"/>
            <w:bdr w:val="none" w:sz="0" w:space="0" w:color="auto" w:frame="1"/>
          </w:rPr>
          <w:t>Representative</w:t>
        </w:r>
      </w:hyperlink>
      <w:r>
        <w:rPr>
          <w:rFonts w:ascii="Century Gothic" w:hAnsi="Century Gothic"/>
          <w:sz w:val="24"/>
          <w:szCs w:val="24"/>
        </w:rPr>
        <w:t xml:space="preserve"> Listing </w:t>
      </w:r>
      <w:r w:rsidR="001C4750">
        <w:rPr>
          <w:rFonts w:ascii="Century Gothic" w:hAnsi="Century Gothic"/>
          <w:sz w:val="24"/>
          <w:szCs w:val="24"/>
        </w:rPr>
        <w:t>–</w:t>
      </w:r>
      <w:r>
        <w:rPr>
          <w:rFonts w:ascii="Century Gothic" w:hAnsi="Century Gothic"/>
          <w:sz w:val="24"/>
          <w:szCs w:val="24"/>
        </w:rPr>
        <w:t xml:space="preserve"> pdf</w:t>
      </w:r>
    </w:p>
    <w:p w14:paraId="577D24DF" w14:textId="77777777" w:rsidR="001C4750" w:rsidRDefault="001C4750" w:rsidP="001C4750">
      <w:pPr>
        <w:spacing w:after="160" w:line="259" w:lineRule="auto"/>
        <w:rPr>
          <w:rFonts w:ascii="Century Gothic" w:hAnsi="Century Gothic"/>
          <w:b/>
          <w:bCs/>
          <w:sz w:val="24"/>
          <w:szCs w:val="24"/>
        </w:rPr>
      </w:pPr>
    </w:p>
    <w:p w14:paraId="5A1085A0" w14:textId="2EBE5986" w:rsidR="001D638C" w:rsidRPr="00753E29" w:rsidRDefault="001D638C" w:rsidP="001C4750">
      <w:pPr>
        <w:spacing w:after="160" w:line="259" w:lineRule="auto"/>
        <w:rPr>
          <w:rFonts w:ascii="Century Gothic" w:hAnsi="Century Gothic"/>
          <w:b/>
          <w:bCs/>
          <w:sz w:val="24"/>
          <w:szCs w:val="24"/>
        </w:rPr>
      </w:pPr>
      <w:r w:rsidRPr="00753E29">
        <w:rPr>
          <w:rFonts w:ascii="Century Gothic" w:hAnsi="Century Gothic"/>
          <w:b/>
          <w:bCs/>
          <w:sz w:val="24"/>
          <w:szCs w:val="24"/>
        </w:rPr>
        <w:t xml:space="preserve">Exhibit </w:t>
      </w:r>
      <w:r w:rsidR="00BB54D5">
        <w:rPr>
          <w:rFonts w:ascii="Century Gothic" w:hAnsi="Century Gothic"/>
          <w:b/>
          <w:bCs/>
          <w:sz w:val="24"/>
          <w:szCs w:val="24"/>
        </w:rPr>
        <w:t>3</w:t>
      </w:r>
    </w:p>
    <w:p w14:paraId="46E31F7F" w14:textId="77777777" w:rsidR="001D638C" w:rsidRPr="00753E29" w:rsidRDefault="001D638C" w:rsidP="001D638C">
      <w:pPr>
        <w:rPr>
          <w:rFonts w:ascii="Century Gothic" w:hAnsi="Century Gothic"/>
          <w:sz w:val="24"/>
          <w:szCs w:val="24"/>
        </w:rPr>
      </w:pPr>
    </w:p>
    <w:p w14:paraId="123C12D9" w14:textId="6B97A701" w:rsidR="001D638C" w:rsidRPr="00753E29" w:rsidRDefault="00753E29" w:rsidP="001D638C">
      <w:pPr>
        <w:rPr>
          <w:rFonts w:ascii="Century Gothic" w:hAnsi="Century Gothic"/>
          <w:sz w:val="24"/>
          <w:szCs w:val="24"/>
        </w:rPr>
      </w:pPr>
      <w:hyperlink r:id="rId6" w:tgtFrame="_blank" w:history="1">
        <w:r w:rsidRPr="00753E29">
          <w:rPr>
            <w:rStyle w:val="Hyperlink"/>
            <w:rFonts w:ascii="Century Gothic" w:hAnsi="Century Gothic"/>
            <w:color w:val="202124"/>
            <w:sz w:val="24"/>
            <w:szCs w:val="24"/>
            <w:u w:val="none"/>
            <w:bdr w:val="none" w:sz="0" w:space="0" w:color="auto" w:frame="1"/>
          </w:rPr>
          <w:t>Qualifying Activities Confirmation Request</w:t>
        </w:r>
      </w:hyperlink>
      <w:r w:rsidRPr="00753E29">
        <w:rPr>
          <w:rFonts w:ascii="Century Gothic" w:hAnsi="Century Gothic"/>
          <w:color w:val="212121"/>
          <w:sz w:val="24"/>
          <w:szCs w:val="24"/>
        </w:rPr>
        <w:t> </w:t>
      </w:r>
      <w:r>
        <w:rPr>
          <w:rFonts w:ascii="Century Gothic" w:hAnsi="Century Gothic"/>
          <w:color w:val="212121"/>
          <w:sz w:val="24"/>
          <w:szCs w:val="24"/>
        </w:rPr>
        <w:t xml:space="preserve">form - </w:t>
      </w:r>
      <w:r w:rsidR="001D638C" w:rsidRPr="00753E29">
        <w:rPr>
          <w:rFonts w:ascii="Century Gothic" w:hAnsi="Century Gothic"/>
          <w:sz w:val="24"/>
          <w:szCs w:val="24"/>
        </w:rPr>
        <w:t>pdf</w:t>
      </w:r>
    </w:p>
    <w:p w14:paraId="125ECDF9" w14:textId="77777777" w:rsidR="001D638C" w:rsidRDefault="001D638C"/>
    <w:sectPr w:rsidR="001D6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ACE"/>
    <w:multiLevelType w:val="multilevel"/>
    <w:tmpl w:val="499C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C738C"/>
    <w:multiLevelType w:val="multilevel"/>
    <w:tmpl w:val="43A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40643"/>
    <w:multiLevelType w:val="multilevel"/>
    <w:tmpl w:val="C144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16241"/>
    <w:multiLevelType w:val="multilevel"/>
    <w:tmpl w:val="325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3870E1"/>
    <w:multiLevelType w:val="multilevel"/>
    <w:tmpl w:val="576E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015085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547650151">
    <w:abstractNumId w:val="1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237935414">
    <w:abstractNumId w:val="4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237279110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497964795">
    <w:abstractNumId w:val="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70"/>
    <w:rsid w:val="000707B3"/>
    <w:rsid w:val="00075F42"/>
    <w:rsid w:val="001207EA"/>
    <w:rsid w:val="00176429"/>
    <w:rsid w:val="001C4750"/>
    <w:rsid w:val="001D638C"/>
    <w:rsid w:val="002B6759"/>
    <w:rsid w:val="002C6470"/>
    <w:rsid w:val="00307ECA"/>
    <w:rsid w:val="006630DB"/>
    <w:rsid w:val="006958CC"/>
    <w:rsid w:val="00742B66"/>
    <w:rsid w:val="00753E29"/>
    <w:rsid w:val="00853357"/>
    <w:rsid w:val="008A0834"/>
    <w:rsid w:val="008F7431"/>
    <w:rsid w:val="00A2776E"/>
    <w:rsid w:val="00B0226E"/>
    <w:rsid w:val="00BB54D5"/>
    <w:rsid w:val="00DD25EB"/>
    <w:rsid w:val="00EE0935"/>
    <w:rsid w:val="00F4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0303"/>
  <w15:chartTrackingRefBased/>
  <w15:docId w15:val="{16DD7389-8DF4-4685-9038-75ABFB02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7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2C6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C6470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C647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C64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C6470"/>
    <w:rPr>
      <w:b/>
      <w:bCs/>
    </w:rPr>
  </w:style>
  <w:style w:type="table" w:styleId="TableGrid">
    <w:name w:val="Table Grid"/>
    <w:basedOn w:val="TableNormal"/>
    <w:uiPriority w:val="39"/>
    <w:rsid w:val="001C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congressweb.com/l/?DTWPGSCSLUXFEMZ" TargetMode="External"/><Relationship Id="rId5" Type="http://schemas.openxmlformats.org/officeDocument/2006/relationships/hyperlink" Target="https://t.congressweb.com/l/?DTWPGSCSLUXFEM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 fulcher</dc:creator>
  <cp:keywords/>
  <dc:description/>
  <cp:lastModifiedBy>Leslie Gonzalez</cp:lastModifiedBy>
  <cp:revision>4</cp:revision>
  <cp:lastPrinted>2023-05-17T18:04:00Z</cp:lastPrinted>
  <dcterms:created xsi:type="dcterms:W3CDTF">2025-01-10T17:25:00Z</dcterms:created>
  <dcterms:modified xsi:type="dcterms:W3CDTF">2025-01-10T17:45:00Z</dcterms:modified>
</cp:coreProperties>
</file>